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202" w14:textId="5152EDFE" w:rsidR="00F61BF5" w:rsidRDefault="00F61BF5"/>
    <w:p w14:paraId="59763806" w14:textId="77777777" w:rsidR="00731285" w:rsidRPr="00C11FF1" w:rsidRDefault="00731285" w:rsidP="00731285">
      <w:pPr>
        <w:shd w:val="clear" w:color="auto" w:fill="FFFFFF"/>
        <w:spacing w:after="0" w:line="240" w:lineRule="auto"/>
        <w:outlineLvl w:val="2"/>
        <w:rPr>
          <w:rFonts w:ascii="Book Antiqua" w:eastAsia="Times New Roman" w:hAnsi="Book Antiqua" w:cs="Arial"/>
          <w:b/>
          <w:bCs/>
          <w:color w:val="B52025"/>
          <w:sz w:val="24"/>
          <w:szCs w:val="24"/>
          <w:lang w:val="en-IN" w:eastAsia="en-IN"/>
        </w:rPr>
      </w:pPr>
      <w:r w:rsidRPr="00C11FF1">
        <w:rPr>
          <w:rFonts w:ascii="Book Antiqua" w:eastAsia="Times New Roman" w:hAnsi="Book Antiqua" w:cs="Arial"/>
          <w:b/>
          <w:bCs/>
          <w:color w:val="B52025"/>
          <w:sz w:val="24"/>
          <w:szCs w:val="24"/>
          <w:lang w:val="en-IN" w:eastAsia="en-IN"/>
        </w:rPr>
        <w:t>Equal Opportunity Cell</w:t>
      </w:r>
    </w:p>
    <w:p w14:paraId="27501DF1" w14:textId="5F594026" w:rsidR="00731285" w:rsidRPr="00C11FF1" w:rsidRDefault="00731285" w:rsidP="00731285">
      <w:pPr>
        <w:shd w:val="clear" w:color="auto" w:fill="FFFFFF"/>
        <w:spacing w:after="0" w:line="285" w:lineRule="atLeast"/>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 xml:space="preserve">Equal Opportunity Cell (EOC) has been established in </w:t>
      </w:r>
      <w:r w:rsidRPr="006D614A">
        <w:rPr>
          <w:rFonts w:ascii="Book Antiqua" w:eastAsia="Times New Roman" w:hAnsi="Book Antiqua" w:cs="Arial"/>
          <w:b/>
          <w:bCs/>
          <w:color w:val="000000"/>
          <w:sz w:val="24"/>
          <w:szCs w:val="24"/>
          <w:lang w:val="en-IN" w:eastAsia="en-IN"/>
        </w:rPr>
        <w:t xml:space="preserve">Maharshi </w:t>
      </w:r>
      <w:proofErr w:type="spellStart"/>
      <w:r w:rsidRPr="006D614A">
        <w:rPr>
          <w:rFonts w:ascii="Book Antiqua" w:eastAsia="Times New Roman" w:hAnsi="Book Antiqua" w:cs="Arial"/>
          <w:b/>
          <w:bCs/>
          <w:color w:val="000000"/>
          <w:sz w:val="24"/>
          <w:szCs w:val="24"/>
          <w:lang w:val="en-IN" w:eastAsia="en-IN"/>
        </w:rPr>
        <w:t>Karve</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stree</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Shikshan</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Samsthas</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Dr.</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Bhanuben</w:t>
      </w:r>
      <w:proofErr w:type="spellEnd"/>
      <w:r w:rsidRPr="006D614A">
        <w:rPr>
          <w:rFonts w:ascii="Book Antiqua" w:eastAsia="Times New Roman" w:hAnsi="Book Antiqua" w:cs="Arial"/>
          <w:b/>
          <w:bCs/>
          <w:color w:val="000000"/>
          <w:sz w:val="24"/>
          <w:szCs w:val="24"/>
          <w:lang w:val="en-IN" w:eastAsia="en-IN"/>
        </w:rPr>
        <w:t xml:space="preserve"> </w:t>
      </w:r>
      <w:proofErr w:type="spellStart"/>
      <w:r w:rsidRPr="006D614A">
        <w:rPr>
          <w:rFonts w:ascii="Book Antiqua" w:eastAsia="Times New Roman" w:hAnsi="Book Antiqua" w:cs="Arial"/>
          <w:b/>
          <w:bCs/>
          <w:color w:val="000000"/>
          <w:sz w:val="24"/>
          <w:szCs w:val="24"/>
          <w:lang w:val="en-IN" w:eastAsia="en-IN"/>
        </w:rPr>
        <w:t>Nanavati</w:t>
      </w:r>
      <w:proofErr w:type="spellEnd"/>
      <w:r w:rsidRPr="006D614A">
        <w:rPr>
          <w:rFonts w:ascii="Book Antiqua" w:eastAsia="Times New Roman" w:hAnsi="Book Antiqua" w:cs="Arial"/>
          <w:b/>
          <w:bCs/>
          <w:color w:val="000000"/>
          <w:sz w:val="24"/>
          <w:szCs w:val="24"/>
          <w:lang w:val="en-IN" w:eastAsia="en-IN"/>
        </w:rPr>
        <w:t xml:space="preserve"> College of Architecture for </w:t>
      </w:r>
      <w:r w:rsidR="006D614A" w:rsidRPr="006D614A">
        <w:rPr>
          <w:rFonts w:ascii="Book Antiqua" w:eastAsia="Times New Roman" w:hAnsi="Book Antiqua" w:cs="Arial"/>
          <w:b/>
          <w:bCs/>
          <w:color w:val="000000"/>
          <w:sz w:val="24"/>
          <w:szCs w:val="24"/>
          <w:lang w:val="en-IN" w:eastAsia="en-IN"/>
        </w:rPr>
        <w:t>Women</w:t>
      </w:r>
      <w:r w:rsidR="006D614A" w:rsidRPr="00E30FF1">
        <w:rPr>
          <w:rFonts w:ascii="Book Antiqua" w:eastAsia="Times New Roman" w:hAnsi="Book Antiqua" w:cs="Arial"/>
          <w:color w:val="000000"/>
          <w:sz w:val="24"/>
          <w:szCs w:val="24"/>
          <w:lang w:val="en-IN" w:eastAsia="en-IN"/>
        </w:rPr>
        <w:t xml:space="preserve">, </w:t>
      </w:r>
      <w:r w:rsidR="006D614A" w:rsidRPr="00C11FF1">
        <w:rPr>
          <w:rFonts w:ascii="Book Antiqua" w:eastAsia="Times New Roman" w:hAnsi="Book Antiqua" w:cs="Arial"/>
          <w:color w:val="000000"/>
          <w:sz w:val="24"/>
          <w:szCs w:val="24"/>
          <w:lang w:val="en-IN" w:eastAsia="en-IN"/>
        </w:rPr>
        <w:t>to</w:t>
      </w:r>
      <w:r w:rsidRPr="00C11FF1">
        <w:rPr>
          <w:rFonts w:ascii="Book Antiqua" w:eastAsia="Times New Roman" w:hAnsi="Book Antiqua" w:cs="Arial"/>
          <w:color w:val="000000"/>
          <w:sz w:val="24"/>
          <w:szCs w:val="24"/>
          <w:lang w:val="en-IN" w:eastAsia="en-IN"/>
        </w:rPr>
        <w:t xml:space="preserve"> aid and advise the students belonging to marginalized sections including the Scheduled Castes (SC), Scheduled Tribes (ST), Other Backward Communities (OBCs), minority communities, etc. pursuing various programs of studies at undergraduate, postgraduate, PhD or other levels</w:t>
      </w:r>
      <w:r w:rsidRPr="00E30FF1">
        <w:rPr>
          <w:rFonts w:ascii="Book Antiqua" w:eastAsia="Times New Roman" w:hAnsi="Book Antiqua" w:cs="Arial"/>
          <w:color w:val="000000"/>
          <w:sz w:val="24"/>
          <w:szCs w:val="24"/>
          <w:lang w:val="en-IN" w:eastAsia="en-IN"/>
        </w:rPr>
        <w:t>.</w:t>
      </w:r>
    </w:p>
    <w:p w14:paraId="47995F45" w14:textId="77777777" w:rsidR="00731285" w:rsidRPr="00C11FF1" w:rsidRDefault="00731285" w:rsidP="00731285">
      <w:pPr>
        <w:spacing w:after="0" w:line="240" w:lineRule="auto"/>
        <w:rPr>
          <w:rFonts w:ascii="Book Antiqua" w:eastAsia="Times New Roman" w:hAnsi="Book Antiqua" w:cs="Times New Roman"/>
          <w:sz w:val="24"/>
          <w:szCs w:val="24"/>
          <w:lang w:val="en-IN" w:eastAsia="en-IN"/>
        </w:rPr>
      </w:pPr>
      <w:r w:rsidRPr="00C11FF1">
        <w:rPr>
          <w:rFonts w:ascii="Book Antiqua" w:eastAsia="Times New Roman" w:hAnsi="Book Antiqua" w:cs="Arial"/>
          <w:color w:val="000000"/>
          <w:sz w:val="24"/>
          <w:szCs w:val="24"/>
          <w:lang w:val="en-IN" w:eastAsia="en-IN"/>
        </w:rPr>
        <w:br/>
      </w:r>
    </w:p>
    <w:p w14:paraId="61E8C729" w14:textId="77777777" w:rsidR="00731285" w:rsidRPr="00C11FF1" w:rsidRDefault="00731285" w:rsidP="00731285">
      <w:pPr>
        <w:shd w:val="clear" w:color="auto" w:fill="FFFFFF"/>
        <w:spacing w:after="0" w:line="240" w:lineRule="auto"/>
        <w:outlineLvl w:val="2"/>
        <w:rPr>
          <w:rFonts w:ascii="Book Antiqua" w:eastAsia="Times New Roman" w:hAnsi="Book Antiqua" w:cs="Arial"/>
          <w:b/>
          <w:bCs/>
          <w:color w:val="B52025"/>
          <w:sz w:val="24"/>
          <w:szCs w:val="24"/>
          <w:lang w:val="en-IN" w:eastAsia="en-IN"/>
        </w:rPr>
      </w:pPr>
      <w:r w:rsidRPr="00C11FF1">
        <w:rPr>
          <w:rFonts w:ascii="Book Antiqua" w:eastAsia="Times New Roman" w:hAnsi="Book Antiqua" w:cs="Arial"/>
          <w:b/>
          <w:bCs/>
          <w:color w:val="B52025"/>
          <w:sz w:val="24"/>
          <w:szCs w:val="24"/>
          <w:lang w:val="en-IN" w:eastAsia="en-IN"/>
        </w:rPr>
        <w:t>Objectives-</w:t>
      </w:r>
    </w:p>
    <w:p w14:paraId="3A2D5BB8" w14:textId="77777777" w:rsidR="00731285" w:rsidRPr="00E30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E30FF1">
        <w:rPr>
          <w:rFonts w:ascii="Book Antiqua" w:hAnsi="Book Antiqua"/>
          <w:sz w:val="24"/>
          <w:szCs w:val="24"/>
        </w:rPr>
        <w:t xml:space="preserve">To oversee/monitor various welfare schemes/ </w:t>
      </w:r>
      <w:proofErr w:type="spellStart"/>
      <w:r w:rsidRPr="00E30FF1">
        <w:rPr>
          <w:rFonts w:ascii="Book Antiqua" w:hAnsi="Book Antiqua"/>
          <w:sz w:val="24"/>
          <w:szCs w:val="24"/>
        </w:rPr>
        <w:t>programmes</w:t>
      </w:r>
      <w:proofErr w:type="spellEnd"/>
      <w:r w:rsidRPr="00E30FF1">
        <w:rPr>
          <w:rFonts w:ascii="Book Antiqua" w:hAnsi="Book Antiqua"/>
          <w:sz w:val="24"/>
          <w:szCs w:val="24"/>
        </w:rPr>
        <w:t xml:space="preserve"> sponsored by the Government of India/State Government, UGC or any agency/ organization as well as those devised by the college/affiliating university for the disadvantaged groups for their effective implementation</w:t>
      </w:r>
    </w:p>
    <w:p w14:paraId="792463ED" w14:textId="77777777" w:rsidR="00731285" w:rsidRPr="00E30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E30FF1">
        <w:rPr>
          <w:rFonts w:ascii="Book Antiqua" w:hAnsi="Book Antiqua"/>
          <w:sz w:val="24"/>
          <w:szCs w:val="24"/>
        </w:rPr>
        <w:t>To effectively function SC/ST Cell and other such Cells/</w:t>
      </w:r>
      <w:proofErr w:type="spellStart"/>
      <w:r w:rsidRPr="00E30FF1">
        <w:rPr>
          <w:rFonts w:ascii="Book Antiqua" w:hAnsi="Book Antiqua"/>
          <w:sz w:val="24"/>
          <w:szCs w:val="24"/>
        </w:rPr>
        <w:t>Centres</w:t>
      </w:r>
      <w:proofErr w:type="spellEnd"/>
      <w:r w:rsidRPr="00E30FF1">
        <w:rPr>
          <w:rFonts w:ascii="Book Antiqua" w:hAnsi="Book Antiqua"/>
          <w:sz w:val="24"/>
          <w:szCs w:val="24"/>
        </w:rPr>
        <w:t xml:space="preserve"> dealing with the problems of different socially disadvantaged groups.</w:t>
      </w:r>
    </w:p>
    <w:p w14:paraId="041A833F" w14:textId="77777777" w:rsidR="00731285" w:rsidRPr="00C11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 xml:space="preserve">To provide information and act as a </w:t>
      </w:r>
      <w:proofErr w:type="spellStart"/>
      <w:r w:rsidRPr="00C11FF1">
        <w:rPr>
          <w:rFonts w:ascii="Book Antiqua" w:eastAsia="Times New Roman" w:hAnsi="Book Antiqua" w:cs="Arial"/>
          <w:color w:val="000000"/>
          <w:sz w:val="24"/>
          <w:szCs w:val="24"/>
          <w:lang w:val="en-IN" w:eastAsia="en-IN"/>
        </w:rPr>
        <w:t>counseling</w:t>
      </w:r>
      <w:proofErr w:type="spellEnd"/>
      <w:r w:rsidRPr="00C11FF1">
        <w:rPr>
          <w:rFonts w:ascii="Book Antiqua" w:eastAsia="Times New Roman" w:hAnsi="Book Antiqua" w:cs="Arial"/>
          <w:color w:val="000000"/>
          <w:sz w:val="24"/>
          <w:szCs w:val="24"/>
          <w:lang w:val="en-IN" w:eastAsia="en-IN"/>
        </w:rPr>
        <w:t>-cum-guidance centre for students belonging to the marginalized sections, especially with regard to academic, financial and other matters.</w:t>
      </w:r>
    </w:p>
    <w:p w14:paraId="0829BD04" w14:textId="77777777" w:rsidR="00731285" w:rsidRPr="00C11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To help create a socially conducive atmosphere for the growth of healthy inter-personal relations among students from marginalized sections and from various social backgrounds.</w:t>
      </w:r>
    </w:p>
    <w:p w14:paraId="4444ED9D" w14:textId="77777777" w:rsidR="00731285" w:rsidRPr="00C11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To help develop cordial inter-personal relationships between teachers and the students from marginalized sections for academic interaction and extra-curricular activities.</w:t>
      </w:r>
    </w:p>
    <w:p w14:paraId="235C6B7D" w14:textId="77777777" w:rsidR="00731285" w:rsidRPr="00C11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To extend help/ support to the students from marginalized sections to overcome problems and barriers emanating from discrimination at any level within its mandate.</w:t>
      </w:r>
    </w:p>
    <w:p w14:paraId="2B9470E1" w14:textId="77777777" w:rsidR="00731285" w:rsidRPr="00C11FF1" w:rsidRDefault="00731285" w:rsidP="00731285">
      <w:pPr>
        <w:numPr>
          <w:ilvl w:val="0"/>
          <w:numId w:val="1"/>
        </w:numPr>
        <w:shd w:val="clear" w:color="auto" w:fill="FFFFFF"/>
        <w:spacing w:after="0" w:line="240" w:lineRule="auto"/>
        <w:ind w:left="795" w:right="75"/>
        <w:jc w:val="both"/>
        <w:rPr>
          <w:rFonts w:ascii="Book Antiqua" w:eastAsia="Times New Roman" w:hAnsi="Book Antiqua" w:cs="Arial"/>
          <w:color w:val="000000"/>
          <w:sz w:val="24"/>
          <w:szCs w:val="24"/>
          <w:lang w:val="en-IN" w:eastAsia="en-IN"/>
        </w:rPr>
      </w:pPr>
      <w:r w:rsidRPr="00C11FF1">
        <w:rPr>
          <w:rFonts w:ascii="Book Antiqua" w:eastAsia="Times New Roman" w:hAnsi="Book Antiqua" w:cs="Arial"/>
          <w:color w:val="000000"/>
          <w:sz w:val="24"/>
          <w:szCs w:val="24"/>
          <w:lang w:val="en-IN" w:eastAsia="en-IN"/>
        </w:rPr>
        <w:t>To organize or conduct seminars/ symposia/ workshops/ conferences/ exhibitions, etc. from time-to-time on issues of contemporary significance for empowering, educationally and culturally, students belonging to the marginalized sections.</w:t>
      </w:r>
    </w:p>
    <w:p w14:paraId="78BB32BD" w14:textId="77777777" w:rsidR="00731285" w:rsidRPr="00E30FF1" w:rsidRDefault="00731285" w:rsidP="00731285">
      <w:pPr>
        <w:rPr>
          <w:sz w:val="24"/>
          <w:szCs w:val="24"/>
        </w:rPr>
      </w:pPr>
    </w:p>
    <w:p w14:paraId="19F2F8C4" w14:textId="1CA2B9BF" w:rsidR="00731285" w:rsidRDefault="006D614A" w:rsidP="006D614A">
      <w:pPr>
        <w:shd w:val="clear" w:color="auto" w:fill="FFFFFF"/>
        <w:spacing w:after="0" w:line="240" w:lineRule="auto"/>
        <w:ind w:right="75"/>
        <w:jc w:val="both"/>
        <w:rPr>
          <w:rFonts w:ascii="Book Antiqua" w:eastAsia="Times New Roman" w:hAnsi="Book Antiqua" w:cs="Arial"/>
          <w:color w:val="000000"/>
          <w:sz w:val="24"/>
          <w:szCs w:val="24"/>
          <w:lang w:val="en-IN" w:eastAsia="en-IN"/>
        </w:rPr>
      </w:pPr>
      <w:r w:rsidRPr="006D614A">
        <w:rPr>
          <w:rFonts w:ascii="Book Antiqua" w:eastAsia="Times New Roman" w:hAnsi="Book Antiqua" w:cs="Arial"/>
          <w:color w:val="000000"/>
          <w:sz w:val="24"/>
          <w:szCs w:val="24"/>
          <w:lang w:val="en-IN" w:eastAsia="en-IN"/>
        </w:rPr>
        <w:t xml:space="preserve">UGC </w:t>
      </w:r>
      <w:proofErr w:type="spellStart"/>
      <w:r w:rsidRPr="006D614A">
        <w:rPr>
          <w:rFonts w:ascii="Book Antiqua" w:eastAsia="Times New Roman" w:hAnsi="Book Antiqua" w:cs="Arial"/>
          <w:color w:val="000000"/>
          <w:sz w:val="24"/>
          <w:szCs w:val="24"/>
          <w:lang w:val="en-IN" w:eastAsia="en-IN"/>
        </w:rPr>
        <w:t>Guidelines_equal</w:t>
      </w:r>
      <w:proofErr w:type="spellEnd"/>
      <w:r w:rsidRPr="006D614A">
        <w:rPr>
          <w:rFonts w:ascii="Book Antiqua" w:eastAsia="Times New Roman" w:hAnsi="Book Antiqua" w:cs="Arial"/>
          <w:color w:val="000000"/>
          <w:sz w:val="24"/>
          <w:szCs w:val="24"/>
          <w:lang w:val="en-IN" w:eastAsia="en-IN"/>
        </w:rPr>
        <w:t xml:space="preserve">-opportunity-cell-colleges- </w:t>
      </w:r>
      <w:hyperlink r:id="rId6" w:history="1">
        <w:r w:rsidRPr="006D614A">
          <w:rPr>
            <w:rStyle w:val="Hyperlink"/>
            <w:rFonts w:ascii="Book Antiqua" w:eastAsia="Times New Roman" w:hAnsi="Book Antiqua" w:cs="Arial"/>
            <w:sz w:val="24"/>
            <w:szCs w:val="24"/>
            <w:lang w:val="en-IN" w:eastAsia="en-IN"/>
          </w:rPr>
          <w:t>click here</w:t>
        </w:r>
      </w:hyperlink>
    </w:p>
    <w:p w14:paraId="29BC882A" w14:textId="6A998481" w:rsidR="006D614A" w:rsidRDefault="006D614A" w:rsidP="006D614A">
      <w:pPr>
        <w:shd w:val="clear" w:color="auto" w:fill="FFFFFF"/>
        <w:spacing w:after="0" w:line="240" w:lineRule="auto"/>
        <w:ind w:right="75"/>
        <w:jc w:val="both"/>
        <w:rPr>
          <w:rStyle w:val="Hyperlink"/>
          <w:rFonts w:ascii="Book Antiqua" w:eastAsia="Times New Roman" w:hAnsi="Book Antiqua"/>
          <w:sz w:val="24"/>
          <w:szCs w:val="24"/>
          <w:lang w:val="en-IN" w:eastAsia="en-IN"/>
        </w:rPr>
      </w:pPr>
      <w:r w:rsidRPr="006D614A">
        <w:rPr>
          <w:rFonts w:ascii="Book Antiqua" w:eastAsia="Times New Roman" w:hAnsi="Book Antiqua"/>
          <w:sz w:val="24"/>
          <w:szCs w:val="24"/>
          <w:lang w:val="en-IN" w:eastAsia="en-IN"/>
        </w:rPr>
        <w:t xml:space="preserve">UGC Regulation on Promotion of Equity in Higher Educational Institutions – </w:t>
      </w:r>
      <w:hyperlink r:id="rId7" w:history="1">
        <w:r w:rsidRPr="006D614A">
          <w:rPr>
            <w:rStyle w:val="Hyperlink"/>
            <w:rFonts w:ascii="Book Antiqua" w:eastAsia="Times New Roman" w:hAnsi="Book Antiqua"/>
            <w:sz w:val="24"/>
            <w:szCs w:val="24"/>
            <w:lang w:val="en-IN" w:eastAsia="en-IN"/>
          </w:rPr>
          <w:t>click here</w:t>
        </w:r>
      </w:hyperlink>
    </w:p>
    <w:p w14:paraId="1E7D3104" w14:textId="43CE2C5C" w:rsidR="00153811" w:rsidRDefault="00153811" w:rsidP="006D614A">
      <w:pPr>
        <w:shd w:val="clear" w:color="auto" w:fill="FFFFFF"/>
        <w:spacing w:after="0" w:line="240" w:lineRule="auto"/>
        <w:ind w:right="75"/>
        <w:jc w:val="both"/>
        <w:rPr>
          <w:rStyle w:val="Hyperlink"/>
          <w:rFonts w:ascii="Book Antiqua" w:eastAsia="Times New Roman" w:hAnsi="Book Antiqua"/>
          <w:sz w:val="24"/>
          <w:szCs w:val="24"/>
          <w:lang w:val="en-IN" w:eastAsia="en-IN"/>
        </w:rPr>
      </w:pPr>
    </w:p>
    <w:p w14:paraId="5788B151" w14:textId="32075FD8" w:rsidR="00153811" w:rsidRDefault="00153811" w:rsidP="006D614A">
      <w:pPr>
        <w:shd w:val="clear" w:color="auto" w:fill="FFFFFF"/>
        <w:spacing w:after="0" w:line="240" w:lineRule="auto"/>
        <w:ind w:right="75"/>
        <w:jc w:val="both"/>
        <w:rPr>
          <w:rStyle w:val="Hyperlink"/>
          <w:rFonts w:ascii="Book Antiqua" w:eastAsia="Times New Roman" w:hAnsi="Book Antiqua"/>
          <w:sz w:val="24"/>
          <w:szCs w:val="24"/>
          <w:lang w:val="en-IN" w:eastAsia="en-IN"/>
        </w:rPr>
      </w:pPr>
    </w:p>
    <w:p w14:paraId="5FF4BF21" w14:textId="4B5530C6" w:rsidR="00153811" w:rsidRDefault="00153811" w:rsidP="006D614A">
      <w:pPr>
        <w:shd w:val="clear" w:color="auto" w:fill="FFFFFF"/>
        <w:spacing w:after="0" w:line="240" w:lineRule="auto"/>
        <w:ind w:right="75"/>
        <w:jc w:val="both"/>
        <w:rPr>
          <w:rStyle w:val="Hyperlink"/>
          <w:rFonts w:ascii="Book Antiqua" w:eastAsia="Times New Roman" w:hAnsi="Book Antiqua"/>
          <w:sz w:val="24"/>
          <w:szCs w:val="24"/>
          <w:lang w:val="en-IN" w:eastAsia="en-IN"/>
        </w:rPr>
      </w:pPr>
    </w:p>
    <w:p w14:paraId="4DE664E0" w14:textId="77777777" w:rsidR="00153811" w:rsidRDefault="00153811" w:rsidP="006D614A">
      <w:pPr>
        <w:shd w:val="clear" w:color="auto" w:fill="FFFFFF"/>
        <w:spacing w:after="0" w:line="240" w:lineRule="auto"/>
        <w:ind w:right="75"/>
        <w:jc w:val="both"/>
        <w:rPr>
          <w:rFonts w:ascii="Book Antiqua" w:eastAsia="Times New Roman" w:hAnsi="Book Antiqua"/>
          <w:sz w:val="24"/>
          <w:szCs w:val="24"/>
          <w:lang w:val="en-IN" w:eastAsia="en-IN"/>
        </w:rPr>
      </w:pPr>
    </w:p>
    <w:p w14:paraId="3DF3C27D" w14:textId="77777777" w:rsidR="00153811" w:rsidRDefault="00153811" w:rsidP="006D614A">
      <w:pPr>
        <w:shd w:val="clear" w:color="auto" w:fill="FFFFFF"/>
        <w:spacing w:after="0" w:line="240" w:lineRule="auto"/>
        <w:ind w:right="75"/>
        <w:jc w:val="both"/>
        <w:rPr>
          <w:rFonts w:ascii="Book Antiqua" w:eastAsia="Times New Roman" w:hAnsi="Book Antiqua"/>
          <w:sz w:val="24"/>
          <w:szCs w:val="24"/>
          <w:lang w:val="en-IN" w:eastAsia="en-IN"/>
        </w:rPr>
      </w:pPr>
    </w:p>
    <w:p w14:paraId="7BC41904" w14:textId="77777777" w:rsidR="00153811" w:rsidRDefault="00153811" w:rsidP="006D614A">
      <w:pPr>
        <w:shd w:val="clear" w:color="auto" w:fill="FFFFFF"/>
        <w:spacing w:after="0" w:line="240" w:lineRule="auto"/>
        <w:ind w:right="75"/>
        <w:jc w:val="both"/>
        <w:rPr>
          <w:rFonts w:ascii="Book Antiqua" w:eastAsia="Times New Roman" w:hAnsi="Book Antiqua"/>
          <w:sz w:val="24"/>
          <w:szCs w:val="24"/>
          <w:lang w:val="en-IN" w:eastAsia="en-IN"/>
        </w:rPr>
      </w:pPr>
    </w:p>
    <w:p w14:paraId="47C1E885" w14:textId="4B78FE64" w:rsidR="00153811" w:rsidRDefault="00153811" w:rsidP="006D614A">
      <w:pPr>
        <w:shd w:val="clear" w:color="auto" w:fill="FFFFFF"/>
        <w:spacing w:after="0" w:line="240" w:lineRule="auto"/>
        <w:ind w:right="75"/>
        <w:jc w:val="both"/>
        <w:rPr>
          <w:rFonts w:ascii="Book Antiqua" w:eastAsia="Times New Roman" w:hAnsi="Book Antiqua"/>
          <w:sz w:val="24"/>
          <w:szCs w:val="24"/>
          <w:lang w:val="en-IN" w:eastAsia="en-IN"/>
        </w:rPr>
      </w:pPr>
      <w:r>
        <w:rPr>
          <w:rFonts w:ascii="Book Antiqua" w:eastAsia="Times New Roman" w:hAnsi="Book Antiqua"/>
          <w:sz w:val="24"/>
          <w:szCs w:val="24"/>
          <w:lang w:val="en-IN" w:eastAsia="en-IN"/>
        </w:rPr>
        <w:t>Dr Meera Pankaj Shirolkar</w:t>
      </w:r>
    </w:p>
    <w:p w14:paraId="3DCBD9DD" w14:textId="2D00B4BA" w:rsidR="00153811" w:rsidRPr="00153811" w:rsidRDefault="00153811" w:rsidP="006D614A">
      <w:pPr>
        <w:shd w:val="clear" w:color="auto" w:fill="FFFFFF"/>
        <w:spacing w:after="0" w:line="240" w:lineRule="auto"/>
        <w:ind w:right="75"/>
        <w:jc w:val="both"/>
        <w:rPr>
          <w:rFonts w:ascii="Book Antiqua" w:eastAsia="Times New Roman" w:hAnsi="Book Antiqua"/>
          <w:sz w:val="24"/>
          <w:szCs w:val="24"/>
          <w:lang w:val="en-IN" w:eastAsia="en-IN"/>
        </w:rPr>
      </w:pPr>
      <w:r w:rsidRPr="00153811">
        <w:rPr>
          <w:rFonts w:ascii="Book Antiqua" w:eastAsia="Times New Roman" w:hAnsi="Book Antiqua"/>
          <w:sz w:val="24"/>
          <w:szCs w:val="24"/>
          <w:lang w:val="en-IN" w:eastAsia="en-IN"/>
        </w:rPr>
        <w:t xml:space="preserve">EOC </w:t>
      </w:r>
      <w:proofErr w:type="spellStart"/>
      <w:r w:rsidRPr="00153811">
        <w:rPr>
          <w:rFonts w:ascii="Book Antiqua" w:eastAsia="Times New Roman" w:hAnsi="Book Antiqua"/>
          <w:sz w:val="24"/>
          <w:szCs w:val="24"/>
          <w:lang w:val="en-IN" w:eastAsia="en-IN"/>
        </w:rPr>
        <w:t>Incharge</w:t>
      </w:r>
      <w:proofErr w:type="spellEnd"/>
    </w:p>
    <w:sectPr w:rsidR="00153811" w:rsidRPr="00153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C6ED5"/>
    <w:multiLevelType w:val="multilevel"/>
    <w:tmpl w:val="42E00E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83533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85"/>
    <w:rsid w:val="00153811"/>
    <w:rsid w:val="00627DA8"/>
    <w:rsid w:val="006D614A"/>
    <w:rsid w:val="00731285"/>
    <w:rsid w:val="009A6BE6"/>
    <w:rsid w:val="00F61B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79D3"/>
  <w15:chartTrackingRefBased/>
  <w15:docId w15:val="{D858D511-F212-43F7-80CE-450D5C2D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285"/>
    <w:rPr>
      <w:lang w:val="en-US"/>
    </w:rPr>
  </w:style>
  <w:style w:type="paragraph" w:styleId="Heading1">
    <w:name w:val="heading 1"/>
    <w:basedOn w:val="Normal"/>
    <w:next w:val="Normal"/>
    <w:link w:val="Heading1Char"/>
    <w:uiPriority w:val="9"/>
    <w:qFormat/>
    <w:rsid w:val="00F61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14A"/>
    <w:rPr>
      <w:color w:val="0563C1" w:themeColor="hyperlink"/>
      <w:u w:val="single"/>
    </w:rPr>
  </w:style>
  <w:style w:type="character" w:styleId="UnresolvedMention">
    <w:name w:val="Unresolved Mention"/>
    <w:basedOn w:val="DefaultParagraphFont"/>
    <w:uiPriority w:val="99"/>
    <w:semiHidden/>
    <w:unhideWhenUsed/>
    <w:rsid w:val="006D614A"/>
    <w:rPr>
      <w:color w:val="605E5C"/>
      <w:shd w:val="clear" w:color="auto" w:fill="E1DFDD"/>
    </w:rPr>
  </w:style>
  <w:style w:type="character" w:styleId="Strong">
    <w:name w:val="Strong"/>
    <w:basedOn w:val="DefaultParagraphFont"/>
    <w:uiPriority w:val="22"/>
    <w:qFormat/>
    <w:rsid w:val="006D614A"/>
    <w:rPr>
      <w:b/>
      <w:bCs/>
    </w:rPr>
  </w:style>
  <w:style w:type="character" w:customStyle="1" w:styleId="Heading1Char">
    <w:name w:val="Heading 1 Char"/>
    <w:basedOn w:val="DefaultParagraphFont"/>
    <w:link w:val="Heading1"/>
    <w:uiPriority w:val="9"/>
    <w:rsid w:val="00F61BF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GCRegulationonPromotionofEquitinHigherEducationalInstitu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GC%20Guidelines_equal-opportunity-cell-colleg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5028-1D9F-426C-9F27-64F4028F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meera.shirolkar@bnca.ac.in</dc:creator>
  <cp:keywords/>
  <dc:description/>
  <cp:lastModifiedBy>Meera Shirolkar</cp:lastModifiedBy>
  <cp:revision>4</cp:revision>
  <dcterms:created xsi:type="dcterms:W3CDTF">2022-06-07T08:11:00Z</dcterms:created>
  <dcterms:modified xsi:type="dcterms:W3CDTF">2023-02-24T07:29:00Z</dcterms:modified>
</cp:coreProperties>
</file>